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Структура навчального року 2022-2023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c000"/>
          <w:sz w:val="32"/>
          <w:szCs w:val="32"/>
          <w:u w:val="single"/>
          <w:rtl w:val="0"/>
        </w:rPr>
        <w:t xml:space="preserve">І семестр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c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01.09.2022р – 28.12.2022р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2"/>
          <w:szCs w:val="32"/>
          <w:u w:val="single"/>
          <w:rtl w:val="0"/>
        </w:rPr>
        <w:t xml:space="preserve">ІІ семестр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16.01.2023р – 02.06.2023р.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i w:val="1"/>
          <w:color w:val="ffc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c000"/>
          <w:sz w:val="36"/>
          <w:szCs w:val="36"/>
          <w:rtl w:val="0"/>
        </w:rPr>
        <w:t xml:space="preserve"> Канікули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u w:val="single"/>
          <w:rtl w:val="0"/>
        </w:rPr>
        <w:t xml:space="preserve">Осінні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24.10.2022р. – 30.10.2022р.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c000"/>
          <w:sz w:val="36"/>
          <w:szCs w:val="36"/>
          <w:u w:val="single"/>
          <w:rtl w:val="0"/>
        </w:rPr>
        <w:t xml:space="preserve">Зимові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     29.12.2022р. – 15.01.2023р.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u w:val="single"/>
          <w:rtl w:val="0"/>
        </w:rPr>
        <w:t xml:space="preserve">Весняні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    27.03.2023р. – 02.04.2023р.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